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pStyle w:val="2"/>
        <w:rPr>
          <w:rFonts w:hint="eastAsia"/>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鹿城区人民区检察院</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8"/>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部门</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区检察院</w:t>
      </w:r>
      <w:r>
        <w:rPr>
          <w:rStyle w:val="8"/>
          <w:rFonts w:hint="eastAsia" w:ascii="黑体" w:eastAsia="黑体"/>
          <w:b w:val="0"/>
          <w:color w:val="000000"/>
          <w:sz w:val="32"/>
          <w:szCs w:val="32"/>
          <w:highlight w:val="none"/>
        </w:rPr>
        <w:t>部门预算安排情况说明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（九）关于区检察院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Fonts w:hint="eastAsia" w:ascii="楷体_GB2312" w:hAnsi="楷体_GB2312" w:eastAsia="楷体_GB2312" w:cs="楷体_GB2312"/>
          <w:b w:val="0"/>
          <w:bCs/>
          <w:sz w:val="32"/>
          <w:szCs w:val="32"/>
          <w:highlight w:val="none"/>
          <w:lang w:eastAsia="zh-CN"/>
        </w:rPr>
        <w:t>区检察院</w:t>
      </w:r>
      <w:r>
        <w:rPr>
          <w:rStyle w:val="8"/>
          <w:rFonts w:hint="eastAsia" w:ascii="黑体" w:eastAsia="黑体"/>
          <w:b w:val="0"/>
          <w:color w:val="000000"/>
          <w:sz w:val="32"/>
          <w:szCs w:val="32"/>
          <w:highlight w:val="none"/>
        </w:rPr>
        <w:t>部门</w:t>
      </w:r>
      <w:r>
        <w:rPr>
          <w:rStyle w:val="8"/>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（十一）2022年部门预算财政拨款项目支出预算表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部门</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pacing w:line="520" w:lineRule="exact"/>
        <w:ind w:firstLine="627" w:firstLineChars="196"/>
        <w:rPr>
          <w:rFonts w:hint="default" w:eastAsia="楷体_GB2312"/>
          <w:lang w:val="en-US" w:eastAsia="zh-CN"/>
        </w:rPr>
      </w:pPr>
      <w:r>
        <w:rPr>
          <w:rFonts w:hint="eastAsia" w:ascii="仿宋_GB2312" w:eastAsia="仿宋_GB2312"/>
          <w:bCs/>
          <w:sz w:val="32"/>
          <w:szCs w:val="32"/>
        </w:rPr>
        <w:t>人民</w:t>
      </w:r>
      <w:r>
        <w:rPr>
          <w:rFonts w:hint="eastAsia" w:ascii="仿宋_GB2312" w:eastAsia="仿宋_GB2312"/>
          <w:bCs/>
          <w:sz w:val="32"/>
          <w:szCs w:val="32"/>
          <w:lang w:eastAsia="zh-CN"/>
        </w:rPr>
        <w:t>区检察院</w:t>
      </w:r>
      <w:r>
        <w:rPr>
          <w:rFonts w:hint="eastAsia" w:ascii="仿宋_GB2312" w:eastAsia="仿宋_GB2312"/>
          <w:bCs/>
          <w:sz w:val="32"/>
          <w:szCs w:val="32"/>
        </w:rPr>
        <w:t>是国家法律监督机关，主要行使4项职权，即对直接受理的国家工作人员利用职权实施的犯罪进行侦查的职务犯罪侦查权；对公安机关提请批准逮捕的犯罪嫌疑人审查批准逮捕和对直接受理案件决定逮捕的逮捕权；为追究犯罪嫌疑人的刑事责任，代表国家依法向有管辖权的法院提出指控的公诉权；对公安机关的立案、侦查活动，对法院的审判活动，对监管机关执行刑罚的活动是否合法进行监督的诉讼监督权。</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default" w:eastAsia="仿宋_GB2312"/>
          <w:highlight w:val="none"/>
          <w:lang w:val="en-US"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区检察院</w:t>
      </w:r>
      <w:r>
        <w:rPr>
          <w:rFonts w:hint="eastAsia" w:ascii="仿宋_GB2312" w:eastAsia="仿宋_GB2312"/>
          <w:bCs/>
          <w:sz w:val="32"/>
          <w:szCs w:val="32"/>
          <w:highlight w:val="none"/>
        </w:rPr>
        <w:t>部门预算</w:t>
      </w:r>
      <w:r>
        <w:rPr>
          <w:rFonts w:hint="eastAsia" w:ascii="仿宋_GB2312" w:eastAsia="仿宋_GB2312"/>
          <w:bCs/>
          <w:sz w:val="32"/>
          <w:szCs w:val="32"/>
          <w:highlight w:val="none"/>
          <w:lang w:val="en-US" w:eastAsia="zh-CN"/>
        </w:rPr>
        <w:t>包括：局本级</w:t>
      </w:r>
      <w:r>
        <w:rPr>
          <w:rFonts w:hint="eastAsia" w:ascii="仿宋_GB2312" w:eastAsia="仿宋_GB2312"/>
          <w:bCs/>
          <w:sz w:val="32"/>
          <w:szCs w:val="32"/>
          <w:highlight w:val="none"/>
        </w:rPr>
        <w:t>预算。</w:t>
      </w:r>
      <w:r>
        <w:rPr>
          <w:rFonts w:hint="eastAsia" w:ascii="仿宋_GB2312" w:eastAsia="仿宋_GB2312"/>
          <w:bCs/>
          <w:sz w:val="32"/>
          <w:szCs w:val="32"/>
          <w:highlight w:val="none"/>
          <w:lang w:val="en-US" w:eastAsia="zh-CN"/>
        </w:rPr>
        <w:t>无二级预算单位。</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val="en-US" w:eastAsia="zh-CN"/>
        </w:rPr>
        <w:t xml:space="preserve">    </w:t>
      </w: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2022</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区检察院</w:t>
      </w:r>
      <w:r>
        <w:rPr>
          <w:rStyle w:val="8"/>
          <w:rFonts w:hint="eastAsia" w:ascii="黑体" w:eastAsia="黑体"/>
          <w:b w:val="0"/>
          <w:color w:val="000000"/>
          <w:sz w:val="32"/>
          <w:szCs w:val="32"/>
          <w:highlight w:val="none"/>
        </w:rPr>
        <w:t>部门预算安排情况说明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8"/>
          <w:rFonts w:hint="eastAsia" w:ascii="楷体_GB2312" w:hAnsi="楷体_GB2312" w:eastAsia="楷体_GB2312" w:cs="楷体_GB2312"/>
          <w:b w:val="0"/>
          <w:bCs w:val="0"/>
          <w:color w:val="000000"/>
          <w:sz w:val="32"/>
          <w:szCs w:val="32"/>
          <w:highlight w:val="none"/>
          <w:lang w:eastAsia="zh-CN"/>
        </w:rPr>
        <w:t>区检察院</w:t>
      </w:r>
      <w:r>
        <w:rPr>
          <w:rStyle w:val="8"/>
          <w:rFonts w:hint="eastAsia" w:ascii="楷体_GB2312" w:hAnsi="楷体_GB2312" w:eastAsia="楷体_GB2312" w:cs="楷体_GB2312"/>
          <w:b w:val="0"/>
          <w:bCs w:val="0"/>
          <w:color w:val="000000"/>
          <w:sz w:val="32"/>
          <w:szCs w:val="32"/>
          <w:highlight w:val="none"/>
          <w:lang w:val="en-US" w:eastAsia="zh-CN"/>
        </w:rPr>
        <w:t>2022</w:t>
      </w:r>
      <w:r>
        <w:rPr>
          <w:rStyle w:val="8"/>
          <w:rFonts w:hint="eastAsia" w:ascii="楷体_GB2312" w:hAnsi="楷体_GB2312" w:eastAsia="楷体_GB2312" w:cs="楷体_GB2312"/>
          <w:b w:val="0"/>
          <w:bCs w:val="0"/>
          <w:color w:val="000000"/>
          <w:sz w:val="32"/>
          <w:szCs w:val="32"/>
          <w:highlight w:val="none"/>
        </w:rPr>
        <w:t>年</w:t>
      </w:r>
      <w:r>
        <w:rPr>
          <w:rStyle w:val="8"/>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区检察院所有收入和支出均纳入部门预算管理。收入包括：一般公共预算拨款收入；支出包括：公共安全支出、科学技术支出、社会保障和就业支出、卫生健康支出、住房保障支出。区检察院</w:t>
      </w:r>
      <w:r>
        <w:rPr>
          <w:rFonts w:hint="eastAsia" w:ascii="仿宋_GB2312" w:eastAsia="仿宋_GB2312"/>
          <w:color w:val="000000"/>
          <w:sz w:val="32"/>
          <w:szCs w:val="32"/>
          <w:highlight w:val="none"/>
          <w:lang w:val="en-US" w:eastAsia="zh-CN"/>
        </w:rPr>
        <w:t>2022年收支总预算</w:t>
      </w:r>
      <w:r>
        <w:rPr>
          <w:rFonts w:hint="eastAsia"/>
          <w:bCs/>
          <w:color w:val="000000"/>
          <w:sz w:val="32"/>
          <w:szCs w:val="32"/>
          <w:lang w:val="en-US" w:eastAsia="zh-CN"/>
        </w:rPr>
        <w:t>5642.62</w:t>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区检察院</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bCs/>
          <w:color w:val="000000"/>
          <w:sz w:val="32"/>
          <w:szCs w:val="32"/>
          <w:lang w:val="en-US" w:eastAsia="zh-CN"/>
        </w:rPr>
        <w:t>5642.62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lang w:val="en-US" w:eastAsia="zh-CN"/>
        </w:rPr>
        <w:t>402.34</w:t>
      </w:r>
      <w:r>
        <w:rPr>
          <w:rFonts w:hint="eastAsia" w:ascii="仿宋_GB2312" w:hAnsi="仿宋_GB2312" w:eastAsia="仿宋_GB2312" w:cs="仿宋_GB2312"/>
          <w:color w:val="000000"/>
          <w:sz w:val="32"/>
          <w:szCs w:val="32"/>
          <w:highlight w:val="none"/>
          <w:lang w:val="en-US" w:eastAsia="zh-CN"/>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长7.7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主要是项目经费以及人员经费的增加。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其中：上年结转</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5642.62</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100.0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政府性基金收入</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；国有资本经营预算收入</w:t>
      </w:r>
      <w:r>
        <w:rPr>
          <w:rFonts w:hint="eastAsia" w:ascii="仿宋_GB2312" w:eastAsia="仿宋_GB2312"/>
          <w:color w:val="000000"/>
          <w:sz w:val="32"/>
          <w:szCs w:val="32"/>
          <w:highlight w:val="none"/>
          <w:lang w:val="en-US" w:eastAsia="zh-CN"/>
        </w:rPr>
        <w:t>0万元，占0.0%；</w:t>
      </w:r>
      <w:r>
        <w:rPr>
          <w:rFonts w:hint="eastAsia" w:ascii="仿宋_GB2312" w:eastAsia="仿宋_GB2312"/>
          <w:color w:val="000000"/>
          <w:sz w:val="32"/>
          <w:szCs w:val="32"/>
          <w:highlight w:val="none"/>
        </w:rPr>
        <w:t>专户资金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；事业单位经营收入</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；上级补助收入</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；附属单位上缴收入</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；用事业基金弥补收支差额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区检察院</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5642.62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w:t>
      </w:r>
      <w:r>
        <w:rPr>
          <w:rFonts w:hint="eastAsia" w:ascii="仿宋_GB2312" w:hAnsi="仿宋_GB2312" w:eastAsia="仿宋_GB2312" w:cs="仿宋_GB2312"/>
          <w:color w:val="000000"/>
          <w:sz w:val="32"/>
          <w:szCs w:val="32"/>
          <w:highlight w:val="none"/>
          <w:lang w:val="en-US" w:eastAsia="zh-CN"/>
        </w:rPr>
        <w:t>加402.34万元，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7.7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主要是项目经费以及人员经费的增加。</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w:t>
      </w:r>
      <w:r>
        <w:rPr>
          <w:rFonts w:hint="eastAsia" w:ascii="仿宋_GB2312" w:eastAsia="仿宋_GB2312"/>
          <w:color w:val="000000"/>
          <w:sz w:val="32"/>
          <w:szCs w:val="32"/>
        </w:rPr>
        <w:t>包括公共安全支出</w:t>
      </w:r>
      <w:r>
        <w:rPr>
          <w:rFonts w:hint="eastAsia" w:ascii="仿宋_GB2312" w:eastAsia="仿宋_GB2312"/>
          <w:color w:val="000000"/>
          <w:sz w:val="32"/>
          <w:szCs w:val="32"/>
          <w:lang w:val="en-US" w:eastAsia="zh-CN"/>
        </w:rPr>
        <w:t>4617.09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科学技术支出</w:t>
      </w:r>
      <w:r>
        <w:rPr>
          <w:rFonts w:hint="eastAsia" w:ascii="仿宋_GB2312" w:eastAsia="仿宋_GB2312"/>
          <w:color w:val="000000"/>
          <w:sz w:val="32"/>
          <w:szCs w:val="32"/>
          <w:lang w:val="en-US" w:eastAsia="zh-CN"/>
        </w:rPr>
        <w:t>100.00万元、</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373.37</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213.97</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338.19</w:t>
      </w:r>
      <w:r>
        <w:rPr>
          <w:rFonts w:hint="eastAsia" w:ascii="仿宋_GB2312" w:eastAsia="仿宋_GB2312"/>
          <w:color w:val="000000"/>
          <w:sz w:val="32"/>
          <w:szCs w:val="32"/>
        </w:rPr>
        <w:t>万元。</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rPr>
        <w:t>包括人员经费支出</w:t>
      </w:r>
      <w:r>
        <w:rPr>
          <w:rFonts w:hint="eastAsia" w:ascii="仿宋_GB2312" w:eastAsia="仿宋_GB2312"/>
          <w:color w:val="000000"/>
          <w:sz w:val="32"/>
          <w:szCs w:val="32"/>
          <w:lang w:val="en-US" w:eastAsia="zh-CN"/>
        </w:rPr>
        <w:t>4134.17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73.3</w:t>
      </w:r>
      <w:r>
        <w:rPr>
          <w:rFonts w:hint="eastAsia" w:ascii="仿宋_GB2312" w:eastAsia="仿宋_GB2312"/>
          <w:color w:val="000000"/>
          <w:sz w:val="32"/>
          <w:szCs w:val="32"/>
        </w:rPr>
        <w:t>%;公用经费支出</w:t>
      </w:r>
      <w:r>
        <w:rPr>
          <w:rFonts w:hint="eastAsia" w:ascii="仿宋_GB2312" w:eastAsia="仿宋_GB2312"/>
          <w:color w:val="000000"/>
          <w:sz w:val="32"/>
          <w:szCs w:val="32"/>
          <w:lang w:val="en-US" w:eastAsia="zh-CN"/>
        </w:rPr>
        <w:t>648.45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11.5</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860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15.2</w:t>
      </w:r>
      <w:r>
        <w:rPr>
          <w:rFonts w:hint="eastAsia" w:ascii="仿宋_GB2312" w:eastAsia="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numPr>
          <w:ilvl w:val="0"/>
          <w:numId w:val="0"/>
        </w:numPr>
        <w:spacing w:line="52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区检察院</w:t>
      </w:r>
      <w:r>
        <w:rPr>
          <w:rFonts w:hint="eastAsia" w:ascii="仿宋_GB2312" w:eastAsia="仿宋_GB2312"/>
          <w:color w:val="000000"/>
          <w:sz w:val="32"/>
          <w:szCs w:val="32"/>
          <w:highlight w:val="none"/>
          <w:lang w:val="en-US" w:eastAsia="zh-CN"/>
        </w:rPr>
        <w:t>2022年财政拨款收支总预算</w:t>
      </w:r>
      <w:r>
        <w:rPr>
          <w:rFonts w:hint="eastAsia" w:ascii="仿宋_GB2312" w:eastAsia="仿宋_GB2312"/>
          <w:color w:val="000000"/>
          <w:sz w:val="32"/>
          <w:szCs w:val="32"/>
          <w:lang w:val="en-US" w:eastAsia="zh-CN"/>
        </w:rPr>
        <w:t>5642.62</w:t>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lang w:val="en-US" w:eastAsia="zh-CN"/>
        </w:rPr>
        <w:t>5642.62</w:t>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rPr>
        <w:t>公共安全支出</w:t>
      </w:r>
      <w:r>
        <w:rPr>
          <w:rFonts w:hint="eastAsia" w:ascii="仿宋_GB2312" w:eastAsia="仿宋_GB2312"/>
          <w:color w:val="000000"/>
          <w:sz w:val="32"/>
          <w:szCs w:val="32"/>
          <w:lang w:val="en-US" w:eastAsia="zh-CN"/>
        </w:rPr>
        <w:t>4617.09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科学技术支出</w:t>
      </w:r>
      <w:r>
        <w:rPr>
          <w:rFonts w:hint="eastAsia" w:ascii="仿宋_GB2312" w:eastAsia="仿宋_GB2312"/>
          <w:color w:val="000000"/>
          <w:sz w:val="32"/>
          <w:szCs w:val="32"/>
          <w:lang w:val="en-US" w:eastAsia="zh-CN"/>
        </w:rPr>
        <w:t>100.00万元、</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373.37</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213.97</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338.19</w:t>
      </w:r>
      <w:r>
        <w:rPr>
          <w:rFonts w:hint="eastAsia" w:ascii="仿宋_GB2312" w:eastAsia="仿宋_GB2312"/>
          <w:color w:val="000000"/>
          <w:sz w:val="32"/>
          <w:szCs w:val="32"/>
        </w:rPr>
        <w:t>万元。</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区检察院</w:t>
      </w:r>
      <w:r>
        <w:rPr>
          <w:rFonts w:hint="eastAsia" w:ascii="仿宋_GB2312" w:hAnsi="仿宋_GB2312" w:eastAsia="仿宋_GB2312" w:cs="仿宋_GB2312"/>
          <w:color w:val="000000"/>
          <w:sz w:val="32"/>
          <w:szCs w:val="32"/>
          <w:highlight w:val="none"/>
          <w:lang w:val="en-US" w:eastAsia="zh-CN"/>
        </w:rPr>
        <w:t>2022年一般公共预算当年拨款</w:t>
      </w:r>
      <w:r>
        <w:rPr>
          <w:rFonts w:hint="eastAsia" w:ascii="仿宋_GB2312" w:hAnsi="仿宋_GB2312" w:eastAsia="仿宋_GB2312" w:cs="仿宋_GB2312"/>
          <w:color w:val="000000"/>
          <w:sz w:val="32"/>
          <w:szCs w:val="32"/>
          <w:lang w:val="en-US" w:eastAsia="zh-CN"/>
        </w:rPr>
        <w:t>5642.62</w:t>
      </w:r>
      <w:r>
        <w:rPr>
          <w:rFonts w:hint="eastAsia" w:ascii="仿宋_GB2312" w:hAnsi="仿宋_GB2312" w:eastAsia="仿宋_GB2312" w:cs="仿宋_GB2312"/>
          <w:color w:val="000000"/>
          <w:sz w:val="32"/>
          <w:szCs w:val="32"/>
          <w:highlight w:val="none"/>
          <w:lang w:val="en-US" w:eastAsia="zh-CN"/>
        </w:rPr>
        <w:t>万元，比上年执行数增加402.34万元，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7.7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主要是项目经费以及人员经费的增加。</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公共安全（类）支出</w:t>
      </w:r>
      <w:r>
        <w:rPr>
          <w:rFonts w:hint="eastAsia" w:ascii="仿宋_GB2312" w:hAnsi="仿宋_GB2312" w:eastAsia="仿宋_GB2312" w:cs="仿宋_GB2312"/>
          <w:color w:val="000000"/>
          <w:sz w:val="32"/>
          <w:szCs w:val="32"/>
          <w:lang w:val="en-US" w:eastAsia="zh-CN"/>
        </w:rPr>
        <w:t>4617.09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科学技术</w:t>
      </w:r>
      <w:r>
        <w:rPr>
          <w:rFonts w:hint="eastAsia" w:ascii="仿宋_GB2312" w:hAnsi="仿宋_GB2312" w:eastAsia="仿宋_GB2312" w:cs="仿宋_GB2312"/>
          <w:color w:val="000000"/>
          <w:sz w:val="32"/>
          <w:szCs w:val="32"/>
        </w:rPr>
        <w:t>（类）支出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373.37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213.97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%；住房保障（类）支出</w:t>
      </w:r>
      <w:r>
        <w:rPr>
          <w:rFonts w:hint="eastAsia" w:ascii="仿宋_GB2312" w:hAnsi="仿宋_GB2312" w:eastAsia="仿宋_GB2312" w:cs="仿宋_GB2312"/>
          <w:color w:val="000000"/>
          <w:sz w:val="32"/>
          <w:szCs w:val="32"/>
          <w:lang w:val="en-US" w:eastAsia="zh-CN"/>
        </w:rPr>
        <w:t>338.19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321" w:firstLineChars="100"/>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（1）公共安全支出（项）检察（款）行政运行（类）</w:t>
      </w:r>
      <w:r>
        <w:rPr>
          <w:rFonts w:hint="eastAsia" w:ascii="仿宋_GB2312" w:hAnsi="仿宋_GB2312" w:eastAsia="仿宋_GB2312" w:cs="仿宋_GB2312"/>
          <w:b w:val="0"/>
          <w:bCs w:val="0"/>
          <w:color w:val="000000"/>
          <w:sz w:val="32"/>
          <w:szCs w:val="32"/>
          <w:lang w:val="en-US" w:eastAsia="zh-CN"/>
        </w:rPr>
        <w:t>3611.70</w:t>
      </w:r>
      <w:r>
        <w:rPr>
          <w:rFonts w:hint="eastAsia" w:ascii="仿宋_GB2312" w:hAnsi="仿宋_GB2312" w:eastAsia="仿宋_GB2312" w:cs="仿宋_GB2312"/>
          <w:b w:val="0"/>
          <w:bCs w:val="0"/>
          <w:color w:val="000000"/>
          <w:sz w:val="32"/>
          <w:szCs w:val="32"/>
        </w:rPr>
        <w:t>万元，主要用于行政人员、临聘人员工资福利发放，工作日之外加班补贴，检察官绩效考核奖金总量，日常公用经费，工会活动费，伙食费，车改补贴等。</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（2）公共安全支出（项）检察（款）</w:t>
      </w:r>
      <w:r>
        <w:rPr>
          <w:rFonts w:hint="eastAsia" w:ascii="仿宋_GB2312" w:hAnsi="仿宋_GB2312" w:eastAsia="仿宋_GB2312" w:cs="仿宋_GB2312"/>
          <w:b w:val="0"/>
          <w:bCs w:val="0"/>
          <w:color w:val="000000"/>
          <w:sz w:val="32"/>
          <w:szCs w:val="32"/>
          <w:lang w:eastAsia="zh-CN"/>
        </w:rPr>
        <w:t>检察监督</w:t>
      </w:r>
      <w:r>
        <w:rPr>
          <w:rFonts w:hint="eastAsia" w:ascii="仿宋_GB2312" w:hAnsi="仿宋_GB2312" w:eastAsia="仿宋_GB2312" w:cs="仿宋_GB2312"/>
          <w:b w:val="0"/>
          <w:bCs w:val="0"/>
          <w:color w:val="000000"/>
          <w:sz w:val="32"/>
          <w:szCs w:val="32"/>
        </w:rPr>
        <w:t>（类）</w:t>
      </w:r>
      <w:r>
        <w:rPr>
          <w:rFonts w:hint="eastAsia" w:ascii="仿宋_GB2312" w:hAnsi="仿宋_GB2312" w:eastAsia="仿宋_GB2312" w:cs="仿宋_GB2312"/>
          <w:b w:val="0"/>
          <w:bCs w:val="0"/>
          <w:color w:val="000000"/>
          <w:sz w:val="32"/>
          <w:szCs w:val="32"/>
          <w:lang w:val="en-US" w:eastAsia="zh-CN"/>
        </w:rPr>
        <w:t>199.00</w:t>
      </w:r>
      <w:r>
        <w:rPr>
          <w:rFonts w:hint="eastAsia" w:ascii="仿宋_GB2312" w:hAnsi="仿宋_GB2312" w:eastAsia="仿宋_GB2312" w:cs="仿宋_GB2312"/>
          <w:b w:val="0"/>
          <w:bCs w:val="0"/>
          <w:color w:val="000000"/>
          <w:sz w:val="32"/>
          <w:szCs w:val="32"/>
        </w:rPr>
        <w:t>万元，主要</w:t>
      </w:r>
      <w:r>
        <w:rPr>
          <w:rFonts w:hint="eastAsia" w:ascii="仿宋_GB2312" w:hAnsi="仿宋_GB2312" w:eastAsia="仿宋_GB2312" w:cs="仿宋_GB2312"/>
          <w:b w:val="0"/>
          <w:bCs w:val="0"/>
          <w:color w:val="000000"/>
          <w:sz w:val="32"/>
          <w:szCs w:val="32"/>
          <w:lang w:eastAsia="zh-CN"/>
        </w:rPr>
        <w:t>为</w:t>
      </w:r>
      <w:r>
        <w:rPr>
          <w:rFonts w:hint="eastAsia" w:ascii="仿宋_GB2312" w:hAnsi="仿宋_GB2312" w:eastAsia="仿宋_GB2312" w:cs="仿宋_GB2312"/>
          <w:b w:val="0"/>
          <w:bCs w:val="0"/>
          <w:color w:val="000000"/>
          <w:sz w:val="32"/>
          <w:szCs w:val="32"/>
          <w:lang w:val="en-US" w:eastAsia="zh-CN"/>
        </w:rPr>
        <w:t>2022年省补办案经费以及2022年省补装备经费</w:t>
      </w:r>
      <w:r>
        <w:rPr>
          <w:rFonts w:hint="eastAsia" w:ascii="仿宋_GB2312" w:hAnsi="仿宋_GB2312" w:eastAsia="仿宋_GB2312" w:cs="仿宋_GB2312"/>
          <w:b w:val="0"/>
          <w:bCs w:val="0"/>
          <w:color w:val="000000"/>
          <w:sz w:val="32"/>
          <w:szCs w:val="32"/>
        </w:rPr>
        <w:t>。</w:t>
      </w:r>
    </w:p>
    <w:p>
      <w:pPr>
        <w:spacing w:line="520" w:lineRule="exact"/>
        <w:ind w:firstLine="640" w:firstLineChars="200"/>
        <w:rPr>
          <w:rFonts w:hint="eastAsia"/>
          <w:b w:val="0"/>
          <w:bCs w:val="0"/>
          <w:color w:val="0000FF"/>
        </w:rPr>
      </w:pPr>
      <w:r>
        <w:rPr>
          <w:rFonts w:hint="eastAsia" w:ascii="仿宋_GB2312" w:hAnsi="仿宋_GB2312" w:eastAsia="仿宋_GB2312" w:cs="仿宋_GB2312"/>
          <w:b w:val="0"/>
          <w:bCs w:val="0"/>
          <w:color w:val="000000"/>
          <w:sz w:val="32"/>
          <w:szCs w:val="32"/>
        </w:rPr>
        <w:t>（3）公共安全支出（项）检察（款）</w:t>
      </w:r>
      <w:r>
        <w:rPr>
          <w:rFonts w:hint="eastAsia" w:ascii="仿宋_GB2312" w:hAnsi="仿宋_GB2312" w:eastAsia="仿宋_GB2312" w:cs="仿宋_GB2312"/>
          <w:b w:val="0"/>
          <w:bCs w:val="0"/>
          <w:color w:val="000000"/>
          <w:sz w:val="32"/>
          <w:szCs w:val="32"/>
          <w:lang w:eastAsia="zh-CN"/>
        </w:rPr>
        <w:t>事业运行</w:t>
      </w:r>
      <w:r>
        <w:rPr>
          <w:rFonts w:hint="eastAsia" w:ascii="仿宋_GB2312" w:hAnsi="仿宋_GB2312" w:eastAsia="仿宋_GB2312" w:cs="仿宋_GB2312"/>
          <w:b w:val="0"/>
          <w:bCs w:val="0"/>
          <w:color w:val="000000"/>
          <w:sz w:val="32"/>
          <w:szCs w:val="32"/>
        </w:rPr>
        <w:t>（类）</w:t>
      </w:r>
      <w:r>
        <w:rPr>
          <w:rFonts w:hint="eastAsia" w:ascii="仿宋_GB2312" w:hAnsi="仿宋_GB2312" w:eastAsia="仿宋_GB2312" w:cs="仿宋_GB2312"/>
          <w:b w:val="0"/>
          <w:bCs w:val="0"/>
          <w:color w:val="000000"/>
          <w:sz w:val="32"/>
          <w:szCs w:val="32"/>
          <w:lang w:val="en-US" w:eastAsia="zh-CN"/>
        </w:rPr>
        <w:t>245.39</w:t>
      </w:r>
      <w:r>
        <w:rPr>
          <w:rFonts w:hint="eastAsia" w:ascii="仿宋_GB2312" w:hAnsi="仿宋_GB2312" w:eastAsia="仿宋_GB2312" w:cs="仿宋_GB2312"/>
          <w:b w:val="0"/>
          <w:bCs w:val="0"/>
          <w:color w:val="000000"/>
          <w:sz w:val="32"/>
          <w:szCs w:val="32"/>
        </w:rPr>
        <w:t>万元，主</w:t>
      </w:r>
      <w:r>
        <w:rPr>
          <w:rFonts w:hint="eastAsia" w:ascii="仿宋_GB2312" w:hAnsi="仿宋_GB2312" w:eastAsia="仿宋_GB2312" w:cs="仿宋_GB2312"/>
          <w:b w:val="0"/>
          <w:bCs w:val="0"/>
          <w:color w:val="auto"/>
          <w:sz w:val="32"/>
          <w:szCs w:val="32"/>
        </w:rPr>
        <w:t>要用于事业人员</w:t>
      </w:r>
      <w:r>
        <w:rPr>
          <w:rFonts w:hint="eastAsia" w:ascii="仿宋_GB2312" w:hAnsi="仿宋_GB2312" w:eastAsia="仿宋_GB2312" w:cs="仿宋_GB2312"/>
          <w:b w:val="0"/>
          <w:bCs w:val="0"/>
          <w:color w:val="auto"/>
          <w:sz w:val="32"/>
          <w:szCs w:val="32"/>
          <w:lang w:eastAsia="zh-CN"/>
        </w:rPr>
        <w:t>工资福利以及奖金的发放等</w:t>
      </w:r>
      <w:r>
        <w:rPr>
          <w:rFonts w:hint="eastAsia" w:ascii="仿宋_GB2312" w:hAnsi="仿宋_GB2312" w:eastAsia="仿宋_GB2312" w:cs="仿宋_GB2312"/>
          <w:b w:val="0"/>
          <w:bCs w:val="0"/>
          <w:color w:val="auto"/>
          <w:sz w:val="32"/>
          <w:szCs w:val="32"/>
        </w:rPr>
        <w:t>。</w:t>
      </w:r>
    </w:p>
    <w:p>
      <w:pPr>
        <w:spacing w:line="520" w:lineRule="exact"/>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）公共安全支出（项）检察（款）其他检察支出（类）</w:t>
      </w:r>
      <w:r>
        <w:rPr>
          <w:rFonts w:hint="eastAsia" w:ascii="仿宋_GB2312" w:hAnsi="仿宋_GB2312" w:eastAsia="仿宋_GB2312" w:cs="仿宋_GB2312"/>
          <w:b w:val="0"/>
          <w:bCs w:val="0"/>
          <w:color w:val="000000"/>
          <w:sz w:val="32"/>
          <w:szCs w:val="32"/>
          <w:lang w:val="en-US" w:eastAsia="zh-CN"/>
        </w:rPr>
        <w:t>561.00</w:t>
      </w:r>
      <w:r>
        <w:rPr>
          <w:rFonts w:hint="eastAsia" w:ascii="仿宋_GB2312" w:hAnsi="仿宋_GB2312" w:eastAsia="仿宋_GB2312" w:cs="仿宋_GB2312"/>
          <w:b w:val="0"/>
          <w:bCs w:val="0"/>
          <w:color w:val="000000"/>
          <w:sz w:val="32"/>
          <w:szCs w:val="32"/>
        </w:rPr>
        <w:t>万元，主要用于</w:t>
      </w:r>
      <w:r>
        <w:rPr>
          <w:rFonts w:hint="eastAsia" w:ascii="仿宋_GB2312" w:hAnsi="仿宋_GB2312" w:eastAsia="仿宋_GB2312" w:cs="仿宋_GB2312"/>
          <w:b w:val="0"/>
          <w:bCs w:val="0"/>
          <w:color w:val="000000"/>
          <w:sz w:val="32"/>
          <w:szCs w:val="32"/>
          <w:lang w:eastAsia="zh-CN"/>
        </w:rPr>
        <w:t>多方远程庭审系统项目、司法雇员经费、两个健康法治教育基地运行保障经费等项目。</w:t>
      </w:r>
    </w:p>
    <w:p>
      <w:pPr>
        <w:spacing w:line="520" w:lineRule="exact"/>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科学技术支出</w:t>
      </w:r>
      <w:r>
        <w:rPr>
          <w:rFonts w:hint="eastAsia" w:ascii="仿宋_GB2312" w:hAnsi="仿宋_GB2312" w:eastAsia="仿宋_GB2312" w:cs="仿宋_GB2312"/>
          <w:b w:val="0"/>
          <w:bCs w:val="0"/>
          <w:color w:val="000000"/>
          <w:sz w:val="32"/>
          <w:szCs w:val="32"/>
        </w:rPr>
        <w:t>（项）</w:t>
      </w:r>
      <w:r>
        <w:rPr>
          <w:rFonts w:hint="eastAsia" w:ascii="仿宋_GB2312" w:hAnsi="仿宋_GB2312" w:eastAsia="仿宋_GB2312" w:cs="仿宋_GB2312"/>
          <w:b w:val="0"/>
          <w:bCs w:val="0"/>
          <w:color w:val="000000"/>
          <w:sz w:val="32"/>
          <w:szCs w:val="32"/>
          <w:lang w:eastAsia="zh-CN"/>
        </w:rPr>
        <w:t>其他科学技术支出</w:t>
      </w:r>
      <w:r>
        <w:rPr>
          <w:rFonts w:hint="eastAsia" w:ascii="仿宋_GB2312" w:hAnsi="仿宋_GB2312" w:eastAsia="仿宋_GB2312" w:cs="仿宋_GB2312"/>
          <w:b w:val="0"/>
          <w:bCs w:val="0"/>
          <w:color w:val="000000"/>
          <w:sz w:val="32"/>
          <w:szCs w:val="32"/>
        </w:rPr>
        <w:t>（款）</w:t>
      </w:r>
      <w:r>
        <w:rPr>
          <w:rFonts w:hint="eastAsia" w:ascii="仿宋_GB2312" w:hAnsi="仿宋_GB2312" w:eastAsia="仿宋_GB2312" w:cs="仿宋_GB2312"/>
          <w:b w:val="0"/>
          <w:bCs w:val="0"/>
          <w:color w:val="000000"/>
          <w:sz w:val="32"/>
          <w:szCs w:val="32"/>
          <w:lang w:eastAsia="zh-CN"/>
        </w:rPr>
        <w:t>其他科学支出</w:t>
      </w:r>
      <w:r>
        <w:rPr>
          <w:rFonts w:hint="eastAsia" w:ascii="仿宋_GB2312" w:hAnsi="仿宋_GB2312" w:eastAsia="仿宋_GB2312" w:cs="仿宋_GB2312"/>
          <w:b w:val="0"/>
          <w:bCs w:val="0"/>
          <w:color w:val="000000"/>
          <w:sz w:val="32"/>
          <w:szCs w:val="32"/>
        </w:rPr>
        <w:t>（类）</w:t>
      </w:r>
      <w:r>
        <w:rPr>
          <w:rFonts w:hint="eastAsia" w:ascii="仿宋_GB2312" w:hAnsi="仿宋_GB2312" w:eastAsia="仿宋_GB2312" w:cs="仿宋_GB2312"/>
          <w:b w:val="0"/>
          <w:bCs w:val="0"/>
          <w:color w:val="000000"/>
          <w:sz w:val="32"/>
          <w:szCs w:val="32"/>
          <w:lang w:val="en-US" w:eastAsia="zh-CN"/>
        </w:rPr>
        <w:t>100.00</w:t>
      </w:r>
      <w:r>
        <w:rPr>
          <w:rFonts w:hint="eastAsia" w:ascii="仿宋_GB2312" w:hAnsi="仿宋_GB2312" w:eastAsia="仿宋_GB2312" w:cs="仿宋_GB2312"/>
          <w:b w:val="0"/>
          <w:bCs w:val="0"/>
          <w:color w:val="000000"/>
          <w:sz w:val="32"/>
          <w:szCs w:val="32"/>
        </w:rPr>
        <w:t>万元，主要用于</w:t>
      </w:r>
      <w:r>
        <w:rPr>
          <w:rFonts w:hint="eastAsia" w:ascii="仿宋_GB2312" w:hAnsi="仿宋_GB2312" w:eastAsia="仿宋_GB2312" w:cs="仿宋_GB2312"/>
          <w:b w:val="0"/>
          <w:bCs w:val="0"/>
          <w:color w:val="000000"/>
          <w:sz w:val="32"/>
          <w:szCs w:val="32"/>
          <w:lang w:eastAsia="zh-CN"/>
        </w:rPr>
        <w:t>建立数字档案室创建工作项目。</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社会保障和就业支出（项）行政事业单位养老支出（款）行政单位离退休（类）</w:t>
      </w:r>
      <w:r>
        <w:rPr>
          <w:rFonts w:hint="eastAsia" w:ascii="仿宋_GB2312" w:hAnsi="仿宋_GB2312" w:eastAsia="仿宋_GB2312" w:cs="仿宋_GB2312"/>
          <w:b w:val="0"/>
          <w:bCs w:val="0"/>
          <w:color w:val="000000"/>
          <w:sz w:val="32"/>
          <w:szCs w:val="32"/>
          <w:lang w:val="en-US" w:eastAsia="zh-CN"/>
        </w:rPr>
        <w:t>44.28</w:t>
      </w:r>
      <w:r>
        <w:rPr>
          <w:rFonts w:hint="eastAsia" w:ascii="仿宋_GB2312" w:hAnsi="仿宋_GB2312" w:eastAsia="仿宋_GB2312" w:cs="仿宋_GB2312"/>
          <w:b w:val="0"/>
          <w:bCs w:val="0"/>
          <w:color w:val="000000"/>
          <w:sz w:val="32"/>
          <w:szCs w:val="32"/>
        </w:rPr>
        <w:t>万元，主要用于退休人员的相关经费。</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）社会保障和就业支出（项）行政事业单位养老支出（款）机关事业单位基本养老保险缴费支出（类）</w:t>
      </w:r>
      <w:r>
        <w:rPr>
          <w:rFonts w:hint="eastAsia" w:ascii="仿宋_GB2312" w:hAnsi="仿宋_GB2312" w:eastAsia="仿宋_GB2312" w:cs="仿宋_GB2312"/>
          <w:b w:val="0"/>
          <w:bCs w:val="0"/>
          <w:color w:val="000000"/>
          <w:sz w:val="32"/>
          <w:szCs w:val="32"/>
          <w:lang w:val="en-US" w:eastAsia="zh-CN"/>
        </w:rPr>
        <w:t>219.39</w:t>
      </w:r>
      <w:r>
        <w:rPr>
          <w:rFonts w:hint="eastAsia" w:ascii="仿宋_GB2312" w:hAnsi="仿宋_GB2312" w:eastAsia="仿宋_GB2312" w:cs="仿宋_GB2312"/>
          <w:b w:val="0"/>
          <w:bCs w:val="0"/>
          <w:color w:val="000000"/>
          <w:sz w:val="32"/>
          <w:szCs w:val="32"/>
        </w:rPr>
        <w:t>万元，主要用于行政事业单位养老金交纳。</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）社会保障和就业支出（项）行政事业单位养老支出（款）机关事业单位职业年金缴费支出（类）</w:t>
      </w:r>
      <w:r>
        <w:rPr>
          <w:rFonts w:hint="eastAsia" w:ascii="仿宋_GB2312" w:hAnsi="仿宋_GB2312" w:eastAsia="仿宋_GB2312" w:cs="仿宋_GB2312"/>
          <w:b w:val="0"/>
          <w:bCs w:val="0"/>
          <w:color w:val="000000"/>
          <w:sz w:val="32"/>
          <w:szCs w:val="32"/>
          <w:lang w:val="en-US" w:eastAsia="zh-CN"/>
        </w:rPr>
        <w:t>109.70</w:t>
      </w:r>
      <w:r>
        <w:rPr>
          <w:rFonts w:hint="eastAsia" w:ascii="仿宋_GB2312" w:hAnsi="仿宋_GB2312" w:eastAsia="仿宋_GB2312" w:cs="仿宋_GB2312"/>
          <w:b w:val="0"/>
          <w:bCs w:val="0"/>
          <w:color w:val="000000"/>
          <w:sz w:val="32"/>
          <w:szCs w:val="32"/>
        </w:rPr>
        <w:t>万元，主要用于行政事业单位职业年金交纳。</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）卫生健康支出（项）行政事业单位医疗（款）行政单位医疗（类）</w:t>
      </w:r>
      <w:r>
        <w:rPr>
          <w:rFonts w:hint="eastAsia" w:ascii="仿宋_GB2312" w:hAnsi="仿宋_GB2312" w:eastAsia="仿宋_GB2312" w:cs="仿宋_GB2312"/>
          <w:b w:val="0"/>
          <w:bCs w:val="0"/>
          <w:color w:val="000000"/>
          <w:sz w:val="32"/>
          <w:szCs w:val="32"/>
          <w:lang w:val="en-US" w:eastAsia="zh-CN"/>
        </w:rPr>
        <w:t>213.97</w:t>
      </w:r>
      <w:r>
        <w:rPr>
          <w:rFonts w:hint="eastAsia" w:ascii="仿宋_GB2312" w:hAnsi="仿宋_GB2312" w:eastAsia="仿宋_GB2312" w:cs="仿宋_GB2312"/>
          <w:b w:val="0"/>
          <w:bCs w:val="0"/>
          <w:color w:val="000000"/>
          <w:sz w:val="32"/>
          <w:szCs w:val="32"/>
        </w:rPr>
        <w:t>万元，主要用于行政事业及退休人员单位医疗交纳。</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）住房保障支出（项）住房改革支出（款）住房公积金（类）</w:t>
      </w:r>
      <w:r>
        <w:rPr>
          <w:rFonts w:hint="eastAsia" w:ascii="仿宋_GB2312" w:hAnsi="仿宋_GB2312" w:eastAsia="仿宋_GB2312" w:cs="仿宋_GB2312"/>
          <w:b w:val="0"/>
          <w:bCs w:val="0"/>
          <w:color w:val="000000"/>
          <w:sz w:val="32"/>
          <w:szCs w:val="32"/>
          <w:lang w:val="en-US" w:eastAsia="zh-CN"/>
        </w:rPr>
        <w:t>338.19</w:t>
      </w:r>
      <w:r>
        <w:rPr>
          <w:rFonts w:hint="eastAsia" w:ascii="仿宋_GB2312" w:hAnsi="仿宋_GB2312" w:eastAsia="仿宋_GB2312" w:cs="仿宋_GB2312"/>
          <w:b w:val="0"/>
          <w:bCs w:val="0"/>
          <w:color w:val="000000"/>
          <w:sz w:val="32"/>
          <w:szCs w:val="32"/>
        </w:rPr>
        <w:t>万元，主要用于行政事业单位住房公积金交纳。</w:t>
      </w:r>
      <w:r>
        <w:rPr>
          <w:rFonts w:hint="eastAsia" w:ascii="楷体_GB2312" w:hAnsi="楷体_GB2312" w:eastAsia="楷体_GB2312" w:cs="楷体_GB2312"/>
          <w:b w:val="0"/>
          <w:bCs w:val="0"/>
          <w:color w:val="00000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区检察院</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lang w:val="en-US" w:eastAsia="zh-CN"/>
        </w:rPr>
        <w:t>4782.62</w:t>
      </w:r>
      <w:r>
        <w:rPr>
          <w:rFonts w:hint="eastAsia" w:ascii="仿宋_GB2312" w:eastAsia="仿宋_GB2312"/>
          <w:color w:val="000000"/>
          <w:sz w:val="32"/>
          <w:szCs w:val="32"/>
          <w:highlight w:val="none"/>
          <w:lang w:val="en-US" w:eastAsia="zh-CN"/>
        </w:rPr>
        <w:t>万元，其中：</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4134.17</w:t>
      </w:r>
      <w:r>
        <w:rPr>
          <w:rFonts w:hint="eastAsia" w:ascii="仿宋_GB2312" w:eastAsia="仿宋_GB2312"/>
          <w:color w:val="000000"/>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退休费、医疗费补助、其他对个人和家庭的补助</w:t>
      </w:r>
      <w:r>
        <w:rPr>
          <w:rFonts w:hint="eastAsia" w:ascii="仿宋_GB2312" w:eastAsia="仿宋_GB2312"/>
          <w:color w:val="000000"/>
          <w:sz w:val="32"/>
          <w:szCs w:val="32"/>
          <w:lang w:eastAsia="zh-CN"/>
        </w:rPr>
        <w:t>；</w:t>
      </w:r>
    </w:p>
    <w:p>
      <w:pPr>
        <w:spacing w:line="520" w:lineRule="exact"/>
        <w:ind w:firstLine="642"/>
        <w:rPr>
          <w:rFonts w:hint="eastAsia"/>
          <w:lang w:eastAsia="zh-CN"/>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648.45</w:t>
      </w:r>
      <w:r>
        <w:rPr>
          <w:rFonts w:hint="eastAsia" w:ascii="仿宋_GB2312" w:eastAsia="仿宋_GB2312"/>
          <w:color w:val="000000"/>
          <w:sz w:val="32"/>
          <w:szCs w:val="32"/>
        </w:rPr>
        <w:t>万元，主要包括：</w:t>
      </w:r>
      <w:r>
        <w:rPr>
          <w:rFonts w:hint="eastAsia" w:ascii="仿宋_GB2312" w:eastAsia="仿宋_GB2312"/>
          <w:color w:val="000000"/>
          <w:sz w:val="32"/>
          <w:szCs w:val="32"/>
          <w:highlight w:val="none"/>
        </w:rPr>
        <w:t>办公费、物业管理费、公务接待费、公务用车运行维护费、其他交通费用、其他商品和服务支出、办公设备购置。</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区检察院2022年没有使用政府性基金预算拨款安排的支出。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（八）国有资本经营预算</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区检察院</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（九）关于区检察院</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区检察院</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55.65</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比上年执行数减少2.85万元，下降4.9%</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w:t>
      </w:r>
      <w:bookmarkStart w:id="0" w:name="_GoBack"/>
      <w:bookmarkEnd w:id="0"/>
      <w:r>
        <w:rPr>
          <w:rFonts w:hint="eastAsia" w:ascii="仿宋_GB2312" w:hAnsi="仿宋_GB2312" w:eastAsia="仿宋_GB2312" w:cs="仿宋_GB2312"/>
          <w:sz w:val="32"/>
          <w:szCs w:val="32"/>
          <w:highlight w:val="none"/>
          <w:lang w:eastAsia="zh-CN"/>
        </w:rPr>
        <w:t>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r>
        <w:rPr>
          <w:rFonts w:hint="eastAsia" w:ascii="仿宋_GB2312" w:hAnsi="仿宋_GB2312" w:eastAsia="仿宋_GB2312" w:cs="仿宋_GB2312"/>
          <w:sz w:val="32"/>
          <w:szCs w:val="32"/>
          <w:highlight w:val="none"/>
        </w:rPr>
        <w:t>。</w:t>
      </w:r>
    </w:p>
    <w:p>
      <w:pPr>
        <w:spacing w:line="5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1.50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主要用于接待</w:t>
      </w:r>
      <w:r>
        <w:rPr>
          <w:rFonts w:hint="eastAsia" w:ascii="仿宋_GB2312" w:eastAsia="仿宋_GB2312" w:cs="仿宋_GB2312"/>
          <w:sz w:val="32"/>
          <w:szCs w:val="32"/>
        </w:rPr>
        <w:t>其他县市来访调研等支出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持平</w:t>
      </w:r>
      <w:r>
        <w:rPr>
          <w:rFonts w:hint="eastAsia" w:ascii="仿宋_GB2312" w:hAnsi="仿宋_GB2312" w:eastAsia="仿宋_GB2312" w:cs="仿宋_GB2312"/>
          <w:b w:val="0"/>
          <w:bCs w:val="0"/>
          <w:sz w:val="32"/>
          <w:szCs w:val="32"/>
          <w:highlight w:val="none"/>
          <w:lang w:eastAsia="zh-CN"/>
        </w:rPr>
        <w:t>主要原因是基本能保持我院公务接待支出与上年保持一致。</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54.15</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执行数</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%。其中，公务用车购置支出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，与上年执行数持平</w:t>
      </w:r>
      <w:r>
        <w:rPr>
          <w:rFonts w:hint="eastAsia" w:ascii="仿宋_GB2312" w:eastAsia="仿宋_GB2312"/>
          <w:sz w:val="32"/>
          <w:szCs w:val="32"/>
          <w:highlight w:val="none"/>
          <w:lang w:val="en-US" w:eastAsia="zh-CN"/>
        </w:rPr>
        <w:t>，主要原因是2021年度我院无该经费的公务用车购置支出</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54.15</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、安全奖励费用等</w:t>
      </w:r>
      <w:r>
        <w:rPr>
          <w:rFonts w:hint="eastAsia" w:ascii="仿宋_GB2312" w:eastAsia="仿宋_GB2312"/>
          <w:sz w:val="32"/>
          <w:szCs w:val="32"/>
          <w:highlight w:val="none"/>
        </w:rPr>
        <w:t>支出。</w:t>
      </w:r>
      <w:r>
        <w:rPr>
          <w:rFonts w:hint="eastAsia" w:ascii="仿宋_GB2312" w:eastAsia="仿宋_GB2312"/>
          <w:sz w:val="32"/>
          <w:szCs w:val="32"/>
          <w:highlight w:val="none"/>
          <w:lang w:eastAsia="zh-CN"/>
        </w:rPr>
        <w:t>比上年执行数</w:t>
      </w:r>
      <w:r>
        <w:rPr>
          <w:rFonts w:hint="eastAsia" w:ascii="仿宋_GB2312" w:eastAsia="仿宋_GB2312"/>
          <w:b w:val="0"/>
          <w:bCs w:val="0"/>
          <w:sz w:val="32"/>
          <w:szCs w:val="32"/>
          <w:highlight w:val="none"/>
          <w:lang w:eastAsia="zh-CN"/>
        </w:rPr>
        <w:t>减少</w:t>
      </w:r>
      <w:r>
        <w:rPr>
          <w:rFonts w:hint="eastAsia" w:ascii="仿宋_GB2312" w:eastAsia="仿宋_GB2312"/>
          <w:b w:val="0"/>
          <w:bCs w:val="0"/>
          <w:sz w:val="32"/>
          <w:szCs w:val="32"/>
          <w:highlight w:val="none"/>
          <w:lang w:val="en-US" w:eastAsia="zh-CN"/>
        </w:rPr>
        <w:t>5.0%，</w:t>
      </w:r>
      <w:r>
        <w:rPr>
          <w:rFonts w:hint="eastAsia" w:ascii="仿宋_GB2312" w:eastAsia="仿宋_GB2312"/>
          <w:b w:val="0"/>
          <w:bCs w:val="0"/>
          <w:sz w:val="32"/>
          <w:szCs w:val="32"/>
          <w:highlight w:val="none"/>
          <w:lang w:eastAsia="zh-CN"/>
        </w:rPr>
        <w:t>主要原因是</w:t>
      </w:r>
      <w:r>
        <w:rPr>
          <w:rFonts w:hint="eastAsia" w:ascii="仿宋_GB2312" w:eastAsia="仿宋_GB2312"/>
          <w:b w:val="0"/>
          <w:bCs w:val="0"/>
          <w:sz w:val="32"/>
          <w:szCs w:val="32"/>
          <w:highlight w:val="none"/>
          <w:lang w:val="en-US" w:eastAsia="zh-CN"/>
        </w:rPr>
        <w:t>2022年度编制车辆数较上年减少1辆</w:t>
      </w:r>
      <w:r>
        <w:rPr>
          <w:rFonts w:hint="eastAsia" w:ascii="仿宋_GB2312" w:eastAsia="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r>
        <w:rPr>
          <w:rFonts w:hint="eastAsia" w:ascii="仿宋_GB2312" w:hAnsi="仿宋_GB2312" w:eastAsia="仿宋_GB2312" w:cs="仿宋_GB2312"/>
          <w:b/>
          <w:bCs w:val="0"/>
          <w:color w:val="000000"/>
          <w:sz w:val="32"/>
          <w:szCs w:val="32"/>
          <w:highlight w:val="none"/>
          <w:u w:val="none"/>
          <w:lang w:val="en-US" w:eastAsia="zh-CN"/>
        </w:rPr>
        <w:t>。</w:t>
      </w:r>
    </w:p>
    <w:p>
      <w:pPr>
        <w:pStyle w:val="17"/>
        <w:spacing w:line="560" w:lineRule="exact"/>
        <w:ind w:firstLine="640" w:firstLineChars="200"/>
        <w:rPr>
          <w:rFonts w:hint="eastAsia" w:ascii="仿宋_GB2312" w:eastAsia="仿宋_GB2312"/>
          <w:sz w:val="32"/>
          <w:szCs w:val="32"/>
          <w:lang w:eastAsia="zh-CN"/>
        </w:rPr>
      </w:pP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ascii="仿宋_GB2312" w:eastAsia="仿宋_GB2312" w:cs="仿宋_GB2312"/>
          <w:sz w:val="32"/>
          <w:szCs w:val="32"/>
        </w:rPr>
        <w:t>年</w:t>
      </w:r>
      <w:r>
        <w:rPr>
          <w:rFonts w:hint="eastAsia" w:ascii="仿宋_GB2312" w:eastAsia="仿宋_GB2312" w:cs="仿宋_GB2312"/>
          <w:sz w:val="32"/>
          <w:szCs w:val="32"/>
          <w:lang w:eastAsia="zh-CN"/>
        </w:rPr>
        <w:t>区检察院</w:t>
      </w:r>
      <w:r>
        <w:rPr>
          <w:rFonts w:hint="eastAsia" w:ascii="仿宋_GB2312" w:eastAsia="仿宋_GB2312" w:cs="仿宋_GB2312"/>
          <w:sz w:val="32"/>
          <w:szCs w:val="32"/>
        </w:rPr>
        <w:t>本级的机关运行经费财政拨款预算</w:t>
      </w:r>
      <w:r>
        <w:rPr>
          <w:rFonts w:hint="eastAsia" w:ascii="仿宋_GB2312" w:eastAsia="仿宋_GB2312" w:cs="仿宋_GB2312"/>
          <w:sz w:val="32"/>
          <w:szCs w:val="32"/>
          <w:lang w:val="en-US" w:eastAsia="zh-CN"/>
        </w:rPr>
        <w:t>648.45</w:t>
      </w:r>
      <w:r>
        <w:rPr>
          <w:rFonts w:hint="eastAsia" w:ascii="仿宋_GB2312" w:eastAsia="仿宋_GB2312" w:cs="仿宋_GB2312"/>
          <w:sz w:val="32"/>
          <w:szCs w:val="32"/>
        </w:rPr>
        <w:t>万元。比20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年预算</w:t>
      </w:r>
      <w:r>
        <w:rPr>
          <w:rFonts w:hint="eastAsia" w:ascii="仿宋_GB2312" w:eastAsia="仿宋_GB2312" w:cs="仿宋_GB2312"/>
          <w:sz w:val="32"/>
          <w:szCs w:val="32"/>
          <w:lang w:eastAsia="zh-CN"/>
        </w:rPr>
        <w:t>减少</w:t>
      </w:r>
      <w:r>
        <w:rPr>
          <w:rFonts w:hint="eastAsia" w:ascii="仿宋_GB2312" w:eastAsia="仿宋_GB2312" w:cs="仿宋_GB2312"/>
          <w:sz w:val="32"/>
          <w:szCs w:val="32"/>
          <w:lang w:val="en-US" w:eastAsia="zh-CN"/>
        </w:rPr>
        <w:t>99.35</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下降</w:t>
      </w:r>
      <w:r>
        <w:rPr>
          <w:rFonts w:hint="eastAsia" w:ascii="仿宋_GB2312" w:eastAsia="仿宋_GB2312" w:cs="仿宋_GB2312"/>
          <w:sz w:val="32"/>
          <w:szCs w:val="32"/>
          <w:lang w:val="en-US" w:eastAsia="zh-CN"/>
        </w:rPr>
        <w:t>13.3</w:t>
      </w:r>
      <w:r>
        <w:rPr>
          <w:rFonts w:hint="eastAsia" w:ascii="仿宋_GB2312" w:eastAsia="仿宋_GB2312" w:cs="仿宋_GB2312"/>
          <w:sz w:val="32"/>
          <w:szCs w:val="32"/>
        </w:rPr>
        <w:t>%，</w:t>
      </w:r>
      <w:r>
        <w:rPr>
          <w:rFonts w:hint="eastAsia" w:ascii="仿宋_GB2312" w:eastAsia="仿宋_GB2312" w:cs="仿宋_GB2312"/>
          <w:sz w:val="32"/>
          <w:szCs w:val="32"/>
          <w:lang w:eastAsia="zh-CN"/>
        </w:rPr>
        <w:t>主要原因为车辆运行保障经费以及车辆交通经费的减少等。</w:t>
      </w:r>
    </w:p>
    <w:p>
      <w:pPr>
        <w:pStyle w:val="17"/>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numPr>
          <w:ilvl w:val="0"/>
          <w:numId w:val="0"/>
        </w:numPr>
        <w:spacing w:line="52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区检察院</w:t>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444.13</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237.63</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206.5</w:t>
      </w:r>
      <w:r>
        <w:rPr>
          <w:rFonts w:hint="eastAsia" w:ascii="仿宋_GB2312" w:eastAsia="仿宋_GB2312"/>
          <w:color w:val="000000"/>
          <w:sz w:val="32"/>
          <w:szCs w:val="32"/>
        </w:rPr>
        <w:t>万元。</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spacing w:line="52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6"/>
          <w:sz w:val="32"/>
          <w:szCs w:val="32"/>
          <w:lang w:eastAsia="zh-CN"/>
        </w:rPr>
        <w:t>区检察院</w:t>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辆，其中，区级领导用车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2022年区检察院其他运转类项目和特定目标类项目均实行绩效目标管理，涉及一般公共预算当年拨款860万元，一级项目4个。</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1.财政拨款收入：本级财政部门当年拨付的财政预算资金，包括一般公共预算财政拨款、政府性基金预算和国有资本经营预算财政拨款。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13.公共安全支出-检察-行政运行：是反应行政单位（包括实行公务员管理的事业单位）行政人员的基本支出。</w:t>
      </w:r>
    </w:p>
    <w:p>
      <w:pPr>
        <w:spacing w:line="52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.公共安全支出-检察-</w:t>
      </w:r>
      <w:r>
        <w:rPr>
          <w:rFonts w:hint="eastAsia" w:ascii="仿宋_GB2312" w:hAnsi="仿宋_GB2312" w:eastAsia="仿宋_GB2312" w:cs="仿宋_GB2312"/>
          <w:sz w:val="32"/>
          <w:szCs w:val="32"/>
          <w:lang w:eastAsia="zh-CN"/>
        </w:rPr>
        <w:t>检察监督</w:t>
      </w:r>
      <w:r>
        <w:rPr>
          <w:rFonts w:hint="eastAsia" w:ascii="仿宋_GB2312" w:hAnsi="仿宋_GB2312" w:eastAsia="仿宋_GB2312" w:cs="仿宋_GB2312"/>
          <w:b w:val="0"/>
          <w:bCs w:val="0"/>
          <w:sz w:val="32"/>
          <w:szCs w:val="32"/>
        </w:rPr>
        <w:t>：是反应</w:t>
      </w:r>
      <w:r>
        <w:rPr>
          <w:rFonts w:hint="eastAsia" w:ascii="仿宋_GB2312" w:hAnsi="仿宋_GB2312" w:eastAsia="仿宋_GB2312" w:cs="仿宋_GB2312"/>
          <w:b w:val="0"/>
          <w:bCs w:val="0"/>
          <w:sz w:val="32"/>
          <w:szCs w:val="32"/>
          <w:lang w:eastAsia="zh-CN"/>
        </w:rPr>
        <w:t>检察机关依法开展法律监督工作的支出，包括侦察监督、公诉、审判监督、执行监督、民事行政监督、公益诉讼、控告申诉等。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公共安全支出-检察-一般行政管理事务：是反应行政单位（包括实行公务员管理的事业单位）事业人员的基本支出。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.公共安全支出-检察-事业运行：反应除了上述项目以外其他用于检察方面的支出。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.公共安全支出-检察-其他检察支出：反应除了上述项目以外其他用于检察方面的支出。</w:t>
      </w:r>
    </w:p>
    <w:p>
      <w:pPr>
        <w:pStyle w:val="2"/>
        <w:rPr>
          <w:rFonts w:hint="default" w:eastAsia="仿宋_GB2312"/>
          <w:lang w:val="en-US" w:eastAsia="zh-CN"/>
        </w:rPr>
      </w:pPr>
      <w:r>
        <w:rPr>
          <w:rFonts w:hint="eastAsia" w:cs="仿宋_GB2312"/>
          <w:sz w:val="32"/>
          <w:szCs w:val="32"/>
          <w:lang w:val="en-US" w:eastAsia="zh-CN"/>
        </w:rPr>
        <w:t xml:space="preserve">    18.科学技术支出-其他科学技术支出-其他科学支出：反应其他科学技术支出中除各项有分类的用于科技方面的支出。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.社会保障和就业支出-行政事业单位养老支出-行政单位离退休：是反应行政单位（包括实行公务员管理的事业单位）开支的离退休经费。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.社会保障和就业支出-行政事业单位养老支出-机关事业单位基本养老保险缴费支出：反应机关事业单位实施养老保险制度由单位缴纳的基本养老保险费支出。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.社会保障和就业支出-行政事业单位养老支出-机关事业单位职业年金缴费支出：反应机关事业单位实施养老保险制度由单位缴纳的职业年金支出。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卫生健康支出-行政事业单位医疗-行政单位医疗：反应财政部门安排的行政单位（包括实行公务员管理的事业单位）基本医疗保险缴费经费，未参加医疗保险的行政单位的公费医疗经费，按国家规定享受离休人员、红军老战士待遇的医疗经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.住房保障支出-住房保障支出-住房公积金：反应行政事业单位按人力资源和社会保障部、财政部规定的基本工资和津贴补贴以及规定比例为职工缴纳的住房公积金。</w:t>
      </w:r>
    </w:p>
    <w:p>
      <w:pPr>
        <w:spacing w:line="520" w:lineRule="exact"/>
        <w:rPr>
          <w:rFonts w:hint="default" w:eastAsia="宋体"/>
          <w:highlight w:val="none"/>
          <w:lang w:val="en-US" w:eastAsia="zh-CN"/>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B2C0A"/>
    <w:rsid w:val="02954528"/>
    <w:rsid w:val="0432483D"/>
    <w:rsid w:val="04F12DC9"/>
    <w:rsid w:val="06485C07"/>
    <w:rsid w:val="0B3A5C6C"/>
    <w:rsid w:val="0C014F6D"/>
    <w:rsid w:val="11641E21"/>
    <w:rsid w:val="125B4450"/>
    <w:rsid w:val="16EF5067"/>
    <w:rsid w:val="19F142E2"/>
    <w:rsid w:val="1ED74D17"/>
    <w:rsid w:val="2378262C"/>
    <w:rsid w:val="240345FA"/>
    <w:rsid w:val="245B3CCB"/>
    <w:rsid w:val="24F15580"/>
    <w:rsid w:val="255258CA"/>
    <w:rsid w:val="25E3273E"/>
    <w:rsid w:val="25EE7927"/>
    <w:rsid w:val="27281E2F"/>
    <w:rsid w:val="27AF99D0"/>
    <w:rsid w:val="27D112AE"/>
    <w:rsid w:val="2B2076DA"/>
    <w:rsid w:val="2F2B19DD"/>
    <w:rsid w:val="32FF21F7"/>
    <w:rsid w:val="3787034C"/>
    <w:rsid w:val="39B461D4"/>
    <w:rsid w:val="3E054CA0"/>
    <w:rsid w:val="3E663D4F"/>
    <w:rsid w:val="410D1152"/>
    <w:rsid w:val="41260B4E"/>
    <w:rsid w:val="42C5148F"/>
    <w:rsid w:val="435E143C"/>
    <w:rsid w:val="4413460B"/>
    <w:rsid w:val="445B21D4"/>
    <w:rsid w:val="45FD0DC7"/>
    <w:rsid w:val="479F1816"/>
    <w:rsid w:val="49331BA1"/>
    <w:rsid w:val="49B550D7"/>
    <w:rsid w:val="4AFA32A4"/>
    <w:rsid w:val="4B3C6F88"/>
    <w:rsid w:val="4C8C73CE"/>
    <w:rsid w:val="4D900176"/>
    <w:rsid w:val="54C31518"/>
    <w:rsid w:val="56432923"/>
    <w:rsid w:val="56842916"/>
    <w:rsid w:val="5BF9A05E"/>
    <w:rsid w:val="5CA47F6C"/>
    <w:rsid w:val="5EAB16CB"/>
    <w:rsid w:val="5F64554A"/>
    <w:rsid w:val="5FEC4A85"/>
    <w:rsid w:val="62CE02E9"/>
    <w:rsid w:val="6550255A"/>
    <w:rsid w:val="668F5FE1"/>
    <w:rsid w:val="68AA0EB0"/>
    <w:rsid w:val="6BBF2EC5"/>
    <w:rsid w:val="6D2B26D1"/>
    <w:rsid w:val="6DCF7A58"/>
    <w:rsid w:val="712403BF"/>
    <w:rsid w:val="74454183"/>
    <w:rsid w:val="753064B9"/>
    <w:rsid w:val="759C24D2"/>
    <w:rsid w:val="76442312"/>
    <w:rsid w:val="76DFF3BC"/>
    <w:rsid w:val="77FF0865"/>
    <w:rsid w:val="78450BF6"/>
    <w:rsid w:val="78FD1B3A"/>
    <w:rsid w:val="79AD5421"/>
    <w:rsid w:val="7CFB18E8"/>
    <w:rsid w:val="7DBFC2EB"/>
    <w:rsid w:val="7EFFAD84"/>
    <w:rsid w:val="7FE3062C"/>
    <w:rsid w:val="7FE533F5"/>
    <w:rsid w:val="A4EFBF90"/>
    <w:rsid w:val="AFFD9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w:basedOn w:val="1"/>
    <w:link w:val="6"/>
    <w:qFormat/>
    <w:uiPriority w:val="0"/>
  </w:style>
  <w:style w:type="character" w:styleId="8">
    <w:name w:val="Strong"/>
    <w:basedOn w:val="6"/>
    <w:qFormat/>
    <w:uiPriority w:val="0"/>
    <w:rPr>
      <w:b/>
      <w:bCs/>
    </w:rPr>
  </w:style>
  <w:style w:type="character" w:styleId="9">
    <w:name w:val="page number"/>
    <w:basedOn w:val="6"/>
    <w:qFormat/>
    <w:uiPriority w:val="0"/>
  </w:style>
  <w:style w:type="character" w:styleId="10">
    <w:name w:val="FollowedHyperlink"/>
    <w:basedOn w:val="6"/>
    <w:qFormat/>
    <w:uiPriority w:val="0"/>
    <w:rPr>
      <w:color w:val="800080"/>
      <w:u w:val="none"/>
    </w:rPr>
  </w:style>
  <w:style w:type="character" w:styleId="11">
    <w:name w:val="HTML Definition"/>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paragraph" w:customStyle="1" w:styleId="16">
    <w:name w:val=" Char"/>
    <w:basedOn w:val="1"/>
    <w:link w:val="6"/>
    <w:qFormat/>
    <w:uiPriority w:val="0"/>
    <w:rPr>
      <w:rFonts w:ascii="宋体" w:hAnsi="宋体" w:cs="Courier New"/>
      <w:sz w:val="32"/>
      <w:szCs w:val="32"/>
    </w:rPr>
  </w:style>
  <w:style w:type="paragraph" w:customStyle="1" w:styleId="17">
    <w:name w:val="p0"/>
    <w:basedOn w:val="1"/>
    <w:qFormat/>
    <w:uiPriority w:val="0"/>
    <w:pPr>
      <w:widowControl/>
    </w:pPr>
    <w:rPr>
      <w:kern w:val="0"/>
      <w:szCs w:val="21"/>
    </w:rPr>
  </w:style>
  <w:style w:type="character" w:customStyle="1" w:styleId="18">
    <w:name w:val="item-middle"/>
    <w:basedOn w:val="6"/>
    <w:qFormat/>
    <w:uiPriority w:val="0"/>
  </w:style>
  <w:style w:type="character" w:customStyle="1" w:styleId="19">
    <w:name w:val="image"/>
    <w:basedOn w:val="6"/>
    <w:qFormat/>
    <w:uiPriority w:val="0"/>
  </w:style>
  <w:style w:type="character" w:customStyle="1" w:styleId="20">
    <w:name w:val="image2"/>
    <w:basedOn w:val="6"/>
    <w:qFormat/>
    <w:uiPriority w:val="0"/>
  </w:style>
  <w:style w:type="character" w:customStyle="1" w:styleId="21">
    <w:name w:val="image3"/>
    <w:basedOn w:val="6"/>
    <w:qFormat/>
    <w:uiPriority w:val="0"/>
  </w:style>
  <w:style w:type="character" w:customStyle="1" w:styleId="22">
    <w:name w:val="ui-state-hover21"/>
    <w:basedOn w:val="6"/>
    <w:qFormat/>
    <w:uiPriority w:val="0"/>
  </w:style>
  <w:style w:type="character" w:customStyle="1" w:styleId="23">
    <w:name w:val="ui-state-active5"/>
    <w:basedOn w:val="6"/>
    <w:qFormat/>
    <w:uiPriority w:val="0"/>
  </w:style>
  <w:style w:type="character" w:customStyle="1" w:styleId="24">
    <w:name w:val="ui-state-default12"/>
    <w:basedOn w:val="6"/>
    <w:qFormat/>
    <w:uiPriority w:val="0"/>
  </w:style>
  <w:style w:type="character" w:customStyle="1" w:styleId="25">
    <w:name w:val="ui-state-default13"/>
    <w:basedOn w:val="6"/>
    <w:qFormat/>
    <w:uiPriority w:val="0"/>
  </w:style>
  <w:style w:type="character" w:customStyle="1" w:styleId="26">
    <w:name w:val="clicked1"/>
    <w:basedOn w:val="6"/>
    <w:qFormat/>
    <w:uiPriority w:val="0"/>
    <w:rPr>
      <w:color w:val="000000"/>
    </w:rPr>
  </w:style>
  <w:style w:type="character" w:customStyle="1" w:styleId="27">
    <w:name w:val="clicked2"/>
    <w:basedOn w:val="6"/>
    <w:qFormat/>
    <w:uiPriority w:val="0"/>
  </w:style>
  <w:style w:type="character" w:customStyle="1" w:styleId="28">
    <w:name w:val="clicked3"/>
    <w:basedOn w:val="6"/>
    <w:qFormat/>
    <w:uiPriority w:val="0"/>
  </w:style>
  <w:style w:type="character" w:customStyle="1" w:styleId="29">
    <w:name w:val="button-hover"/>
    <w:basedOn w:val="6"/>
    <w:qFormat/>
    <w:uiPriority w:val="0"/>
  </w:style>
  <w:style w:type="character" w:customStyle="1" w:styleId="30">
    <w:name w:val="button-hover1"/>
    <w:basedOn w:val="6"/>
    <w:qFormat/>
    <w:uiPriority w:val="0"/>
  </w:style>
  <w:style w:type="character" w:customStyle="1" w:styleId="31">
    <w:name w:val="group"/>
    <w:basedOn w:val="6"/>
    <w:qFormat/>
    <w:uiPriority w:val="0"/>
  </w:style>
  <w:style w:type="character" w:customStyle="1" w:styleId="32">
    <w:name w:val="directchildrenspan"/>
    <w:basedOn w:val="6"/>
    <w:qFormat/>
    <w:uiPriority w:val="0"/>
  </w:style>
  <w:style w:type="character" w:customStyle="1" w:styleId="33">
    <w:name w:val="imgspan"/>
    <w:basedOn w:val="6"/>
    <w:qFormat/>
    <w:uiPriority w:val="0"/>
  </w:style>
  <w:style w:type="character" w:customStyle="1" w:styleId="34">
    <w:name w:val="ui-icon34"/>
    <w:basedOn w:val="6"/>
    <w:qFormat/>
    <w:uiPriority w:val="0"/>
  </w:style>
  <w:style w:type="character" w:customStyle="1" w:styleId="35">
    <w:name w:val="newstitle"/>
    <w:basedOn w:val="6"/>
    <w:qFormat/>
    <w:uiPriority w:val="0"/>
    <w:rPr>
      <w:b/>
      <w:color w:val="000000"/>
      <w:sz w:val="24"/>
      <w:szCs w:val="24"/>
    </w:rPr>
  </w:style>
  <w:style w:type="character" w:customStyle="1" w:styleId="36">
    <w:name w:val="ui-state-hover"/>
    <w:basedOn w:val="6"/>
    <w:qFormat/>
    <w:uiPriority w:val="0"/>
  </w:style>
  <w:style w:type="character" w:customStyle="1" w:styleId="37">
    <w:name w:val="image1"/>
    <w:basedOn w:val="6"/>
    <w:qFormat/>
    <w:uiPriority w:val="0"/>
  </w:style>
  <w:style w:type="character" w:customStyle="1" w:styleId="38">
    <w:name w:val="clicked"/>
    <w:basedOn w:val="6"/>
    <w:qFormat/>
    <w:uiPriority w:val="0"/>
  </w:style>
  <w:style w:type="character" w:customStyle="1" w:styleId="39">
    <w:name w:val="ui-state-active"/>
    <w:basedOn w:val="6"/>
    <w:qFormat/>
    <w:uiPriority w:val="0"/>
  </w:style>
  <w:style w:type="character" w:customStyle="1" w:styleId="40">
    <w:name w:val="ui-icon33"/>
    <w:basedOn w:val="6"/>
    <w:qFormat/>
    <w:uiPriority w:val="0"/>
  </w:style>
  <w:style w:type="character" w:customStyle="1" w:styleId="41">
    <w:name w:val="ui-state-active6"/>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chengws</dc:creator>
  <cp:lastModifiedBy>木子李</cp:lastModifiedBy>
  <cp:lastPrinted>2022-02-10T18:36:00Z</cp:lastPrinted>
  <dcterms:modified xsi:type="dcterms:W3CDTF">2022-03-21T03:18:01Z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082606BCEC494014AF45CFA6645BDF40</vt:lpwstr>
  </property>
</Properties>
</file>